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E9F0" w14:textId="77777777" w:rsidR="008F20D9" w:rsidRDefault="00F90695" w:rsidP="008F20D9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</w:pPr>
      <w:bookmarkStart w:id="0" w:name="_GoBack"/>
      <w:bookmarkEnd w:id="0"/>
      <w:r>
        <w:pict w14:anchorId="38E5E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45pt;margin-top:-29.15pt;width:129pt;height:57.8pt;z-index:251658240">
            <v:imagedata r:id="rId9" o:title=""/>
            <w10:wrap type="topAndBottom"/>
          </v:shape>
          <o:OLEObject Type="Embed" ProgID="MSPhotoEd.3" ShapeID="_x0000_s1028" DrawAspect="Content" ObjectID="_1497949817" r:id="rId10"/>
        </w:pict>
      </w:r>
      <w:r w:rsidR="008F20D9"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14:paraId="2F199AF8" w14:textId="77777777" w:rsidR="008F20D9" w:rsidRDefault="008F20D9" w:rsidP="008F20D9">
      <w:pPr>
        <w:jc w:val="center"/>
        <w:rPr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Significantly Different!</w:t>
      </w:r>
    </w:p>
    <w:p w14:paraId="555B98AF" w14:textId="3B3EC355" w:rsidR="00937D6F" w:rsidRPr="00FE026B" w:rsidRDefault="00937D6F" w:rsidP="004E349C">
      <w:pPr>
        <w:spacing w:after="0"/>
        <w:jc w:val="center"/>
        <w:rPr>
          <w:rFonts w:cs="Times New Roman"/>
          <w:sz w:val="24"/>
        </w:rPr>
      </w:pPr>
    </w:p>
    <w:p w14:paraId="35FD595A" w14:textId="77777777" w:rsidR="004E349C" w:rsidRPr="00FE026B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1B9D75B4" w14:textId="77777777" w:rsidR="008F20D9" w:rsidRDefault="008F20D9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02B93C55" w14:textId="77777777" w:rsidR="008F20D9" w:rsidRDefault="008F20D9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174C365D" w14:textId="77777777" w:rsidR="008F20D9" w:rsidRDefault="008F20D9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53599B20" w14:textId="77777777" w:rsidR="004E349C" w:rsidRPr="00FE026B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 w:rsidRPr="00FE026B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 w:rsidRPr="00FE026B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14:paraId="2FA0F4C4" w14:textId="77777777" w:rsidR="004E349C" w:rsidRPr="00FE026B" w:rsidRDefault="004E349C" w:rsidP="004E349C">
      <w:pPr>
        <w:spacing w:after="0"/>
        <w:jc w:val="center"/>
        <w:rPr>
          <w:b/>
        </w:rPr>
      </w:pPr>
    </w:p>
    <w:p w14:paraId="4CDACA62" w14:textId="77777777" w:rsidR="004E349C" w:rsidRPr="00FE026B" w:rsidRDefault="004E349C" w:rsidP="004E349C">
      <w:pPr>
        <w:spacing w:after="0"/>
        <w:jc w:val="center"/>
        <w:rPr>
          <w:b/>
        </w:rPr>
      </w:pPr>
    </w:p>
    <w:p w14:paraId="217387B9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p w14:paraId="682A9B32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p w14:paraId="4590C8F2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FE026B" w:rsidRPr="00B31F5E" w14:paraId="010BCA22" w14:textId="77777777" w:rsidTr="00FB78C5">
        <w:trPr>
          <w:trHeight w:val="774"/>
          <w:jc w:val="center"/>
        </w:trPr>
        <w:tc>
          <w:tcPr>
            <w:tcW w:w="6487" w:type="dxa"/>
            <w:vAlign w:val="center"/>
          </w:tcPr>
          <w:p w14:paraId="5E79C873" w14:textId="77777777" w:rsidR="004E349C" w:rsidRPr="00612D67" w:rsidRDefault="004E349C" w:rsidP="004E34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12D67">
              <w:rPr>
                <w:rFonts w:ascii="Arial" w:hAnsi="Arial" w:cs="Arial"/>
                <w:b/>
                <w:bCs/>
                <w:sz w:val="36"/>
                <w:szCs w:val="36"/>
              </w:rPr>
              <w:t>RESOURCE BOOKLET</w:t>
            </w:r>
          </w:p>
        </w:tc>
      </w:tr>
    </w:tbl>
    <w:p w14:paraId="0A4B96F4" w14:textId="77777777" w:rsidR="00491D6D" w:rsidRPr="00612D67" w:rsidRDefault="00491D6D" w:rsidP="00491D6D">
      <w:pPr>
        <w:spacing w:after="0"/>
        <w:jc w:val="center"/>
        <w:rPr>
          <w:rFonts w:ascii="Arial" w:hAnsi="Arial" w:cs="Arial"/>
          <w:b/>
        </w:rPr>
      </w:pPr>
    </w:p>
    <w:p w14:paraId="10EAB768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770717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57C3DE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01CC34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03B557" w14:textId="77777777" w:rsidR="00491D6D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0AB43" w14:textId="77777777" w:rsidR="00491D6D" w:rsidRPr="00612D67" w:rsidRDefault="00491D6D" w:rsidP="00491D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8ABD11" w14:textId="77777777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612D67">
        <w:rPr>
          <w:rFonts w:ascii="Arial" w:hAnsi="Arial" w:cs="Arial"/>
          <w:b/>
          <w:bCs/>
          <w:sz w:val="36"/>
          <w:szCs w:val="36"/>
        </w:rPr>
        <w:t>Level 1 Accounting, 2015</w:t>
      </w:r>
    </w:p>
    <w:p w14:paraId="4083F610" w14:textId="77777777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183A931" w14:textId="77777777" w:rsidR="00491D6D" w:rsidRPr="00612D67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12D67">
        <w:rPr>
          <w:rFonts w:ascii="Arial" w:hAnsi="Arial" w:cs="Arial"/>
          <w:b/>
          <w:bCs/>
          <w:sz w:val="32"/>
          <w:szCs w:val="32"/>
        </w:rPr>
        <w:t xml:space="preserve">90978 (1.3) </w:t>
      </w:r>
      <w:r w:rsidRPr="00612D67">
        <w:rPr>
          <w:rFonts w:ascii="Arial" w:hAnsi="Arial" w:cs="Arial"/>
          <w:b/>
          <w:bCs/>
          <w:sz w:val="36"/>
          <w:szCs w:val="36"/>
        </w:rPr>
        <w:t>Prepare financial statements for sole proprietors</w:t>
      </w:r>
    </w:p>
    <w:p w14:paraId="52FE8D6C" w14:textId="77777777" w:rsidR="00491D6D" w:rsidRPr="00612D67" w:rsidRDefault="00491D6D" w:rsidP="00491D6D">
      <w:pPr>
        <w:spacing w:after="0"/>
        <w:rPr>
          <w:rFonts w:ascii="Arial" w:hAnsi="Arial" w:cs="Arial"/>
        </w:rPr>
      </w:pPr>
    </w:p>
    <w:p w14:paraId="0A845329" w14:textId="77777777" w:rsidR="00491D6D" w:rsidRPr="00612D67" w:rsidRDefault="00491D6D" w:rsidP="00491D6D">
      <w:pPr>
        <w:spacing w:after="0"/>
        <w:rPr>
          <w:rFonts w:ascii="Arial" w:hAnsi="Arial" w:cs="Arial"/>
        </w:rPr>
      </w:pPr>
    </w:p>
    <w:p w14:paraId="3C563279" w14:textId="77777777" w:rsidR="004E349C" w:rsidRPr="00612D67" w:rsidRDefault="004E349C" w:rsidP="004E349C">
      <w:pPr>
        <w:spacing w:after="0"/>
        <w:rPr>
          <w:rFonts w:ascii="Arial" w:hAnsi="Arial" w:cs="Arial"/>
        </w:rPr>
      </w:pPr>
    </w:p>
    <w:p w14:paraId="51DB27AB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5F8DBD03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5B98F986" w14:textId="39E31249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sz w:val="28"/>
          <w:lang w:eastAsia="en-NZ"/>
        </w:rPr>
      </w:pPr>
      <w:r w:rsidRPr="00612D67">
        <w:rPr>
          <w:rFonts w:ascii="Arial" w:eastAsia="Times New Roman" w:hAnsi="Arial" w:cs="Arial"/>
          <w:b/>
          <w:bCs/>
          <w:sz w:val="28"/>
          <w:lang w:eastAsia="en-NZ"/>
        </w:rPr>
        <w:t>Refer to this booklet to answer the questions for Accounting 90978 (1.3)</w:t>
      </w:r>
      <w:r w:rsidR="000C28BB" w:rsidRPr="00612D67">
        <w:rPr>
          <w:rFonts w:ascii="Arial" w:eastAsia="Times New Roman" w:hAnsi="Arial" w:cs="Arial"/>
          <w:b/>
          <w:bCs/>
          <w:sz w:val="28"/>
          <w:lang w:eastAsia="en-NZ"/>
        </w:rPr>
        <w:t>.</w:t>
      </w:r>
    </w:p>
    <w:p w14:paraId="16A976EE" w14:textId="77777777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lang w:eastAsia="en-NZ"/>
        </w:rPr>
      </w:pPr>
    </w:p>
    <w:p w14:paraId="7E44357D" w14:textId="5741509C" w:rsidR="004E349C" w:rsidRPr="00612D67" w:rsidRDefault="004E349C" w:rsidP="004E349C">
      <w:pPr>
        <w:spacing w:after="0"/>
        <w:rPr>
          <w:rFonts w:ascii="Arial" w:eastAsia="Times New Roman" w:hAnsi="Arial" w:cs="Arial"/>
          <w:b/>
          <w:bCs/>
          <w:sz w:val="28"/>
          <w:lang w:eastAsia="en-NZ"/>
        </w:rPr>
      </w:pPr>
      <w:r w:rsidRPr="00612D67">
        <w:rPr>
          <w:rFonts w:ascii="Arial" w:eastAsia="Times New Roman" w:hAnsi="Arial" w:cs="Arial"/>
          <w:b/>
          <w:bCs/>
          <w:sz w:val="28"/>
          <w:lang w:eastAsia="en-NZ"/>
        </w:rPr>
        <w:t>YOU MAY KEEP THIS BOOKLET AT THE END OF THE EXAMINATION</w:t>
      </w:r>
      <w:r w:rsidR="000C28BB" w:rsidRPr="00612D67">
        <w:rPr>
          <w:rFonts w:ascii="Arial" w:eastAsia="Times New Roman" w:hAnsi="Arial" w:cs="Arial"/>
          <w:b/>
          <w:bCs/>
          <w:sz w:val="28"/>
          <w:lang w:eastAsia="en-NZ"/>
        </w:rPr>
        <w:t>.</w:t>
      </w:r>
    </w:p>
    <w:p w14:paraId="19C502FC" w14:textId="77777777" w:rsidR="00937D6F" w:rsidRPr="00B31F5E" w:rsidRDefault="00937D6F" w:rsidP="004E349C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361039B7" w14:textId="77777777" w:rsidR="00937D6F" w:rsidRPr="00B31F5E" w:rsidRDefault="00937D6F" w:rsidP="00937D6F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2782F5DA" w14:textId="77777777" w:rsidR="00937D6F" w:rsidRPr="00612D67" w:rsidRDefault="00937D6F">
      <w:pPr>
        <w:rPr>
          <w:rFonts w:ascii="Arial" w:hAnsi="Arial" w:cs="Arial"/>
          <w:b/>
        </w:rPr>
      </w:pPr>
    </w:p>
    <w:p w14:paraId="661E73E6" w14:textId="77777777" w:rsidR="00937D6F" w:rsidRPr="00612D67" w:rsidRDefault="00937D6F">
      <w:pPr>
        <w:rPr>
          <w:rFonts w:ascii="Arial" w:hAnsi="Arial" w:cs="Arial"/>
          <w:b/>
        </w:rPr>
      </w:pPr>
      <w:r w:rsidRPr="00612D67">
        <w:rPr>
          <w:rFonts w:ascii="Arial" w:hAnsi="Arial" w:cs="Arial"/>
          <w:b/>
        </w:rPr>
        <w:br w:type="page"/>
      </w:r>
    </w:p>
    <w:p w14:paraId="7BE75565" w14:textId="7E333C81" w:rsidR="00F36213" w:rsidRPr="00612D67" w:rsidRDefault="00497AAA" w:rsidP="00F36213">
      <w:pPr>
        <w:rPr>
          <w:rFonts w:ascii="Arial" w:hAnsi="Arial" w:cs="Arial"/>
        </w:rPr>
      </w:pPr>
      <w:r w:rsidRPr="00612D67">
        <w:rPr>
          <w:rFonts w:ascii="Arial" w:hAnsi="Arial" w:cs="Arial"/>
          <w:i/>
        </w:rPr>
        <w:lastRenderedPageBreak/>
        <w:t>Native</w:t>
      </w:r>
      <w:r w:rsidR="00E01504" w:rsidRPr="00612D67">
        <w:rPr>
          <w:rFonts w:ascii="Arial" w:hAnsi="Arial" w:cs="Arial"/>
          <w:i/>
        </w:rPr>
        <w:t xml:space="preserve"> Gardens</w:t>
      </w:r>
      <w:r w:rsidR="00E01504" w:rsidRPr="00612D67">
        <w:rPr>
          <w:rFonts w:ascii="Arial" w:hAnsi="Arial" w:cs="Arial"/>
        </w:rPr>
        <w:t xml:space="preserve"> is a garden centre </w:t>
      </w:r>
      <w:r w:rsidR="000F145D" w:rsidRPr="00612D67">
        <w:rPr>
          <w:rFonts w:ascii="Arial" w:hAnsi="Arial" w:cs="Arial"/>
        </w:rPr>
        <w:t xml:space="preserve">owned by sole proprietor, </w:t>
      </w:r>
      <w:r w:rsidR="008E02B1" w:rsidRPr="00612D67">
        <w:rPr>
          <w:rFonts w:ascii="Arial" w:hAnsi="Arial" w:cs="Arial"/>
        </w:rPr>
        <w:t>Geraldine</w:t>
      </w:r>
      <w:r w:rsidR="00E01504" w:rsidRPr="00612D67">
        <w:rPr>
          <w:rFonts w:ascii="Arial" w:hAnsi="Arial" w:cs="Arial"/>
        </w:rPr>
        <w:t xml:space="preserve"> Taylor</w:t>
      </w:r>
      <w:r w:rsidR="000F145D" w:rsidRPr="00612D67">
        <w:rPr>
          <w:rFonts w:ascii="Arial" w:hAnsi="Arial" w:cs="Arial"/>
        </w:rPr>
        <w:t xml:space="preserve">.  </w:t>
      </w:r>
      <w:r w:rsidR="00E01504" w:rsidRPr="00612D67">
        <w:rPr>
          <w:rFonts w:ascii="Arial" w:hAnsi="Arial" w:cs="Arial"/>
        </w:rPr>
        <w:t xml:space="preserve">The centre is located on the outskirts of Hamilton and specialises in </w:t>
      </w:r>
      <w:r w:rsidR="00404D3D" w:rsidRPr="00612D67">
        <w:rPr>
          <w:rFonts w:ascii="Arial" w:hAnsi="Arial" w:cs="Arial"/>
        </w:rPr>
        <w:t xml:space="preserve">selling </w:t>
      </w:r>
      <w:r w:rsidR="00E01504" w:rsidRPr="00612D67">
        <w:rPr>
          <w:rFonts w:ascii="Arial" w:hAnsi="Arial" w:cs="Arial"/>
        </w:rPr>
        <w:t>native plants.</w:t>
      </w:r>
      <w:r w:rsidR="00404D3D" w:rsidRPr="00612D67">
        <w:rPr>
          <w:rFonts w:ascii="Arial" w:hAnsi="Arial" w:cs="Arial"/>
        </w:rPr>
        <w:t xml:space="preserve">  They purchase their plants from local suppliers and</w:t>
      </w:r>
      <w:r w:rsidR="00337CB5" w:rsidRPr="00612D67">
        <w:rPr>
          <w:rFonts w:ascii="Arial" w:hAnsi="Arial" w:cs="Arial"/>
        </w:rPr>
        <w:t xml:space="preserve"> employ two people </w:t>
      </w:r>
      <w:r w:rsidR="00404D3D" w:rsidRPr="00612D67">
        <w:rPr>
          <w:rFonts w:ascii="Arial" w:hAnsi="Arial" w:cs="Arial"/>
        </w:rPr>
        <w:t xml:space="preserve">to work in the shop and to keep the plants for sale looking good.  </w:t>
      </w:r>
    </w:p>
    <w:p w14:paraId="74C410B4" w14:textId="52B6B651" w:rsidR="009A0944" w:rsidRPr="00612D67" w:rsidRDefault="00570B88">
      <w:pPr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The following Trial Balance and additional information relate to </w:t>
      </w:r>
      <w:r w:rsidR="00497AAA" w:rsidRPr="00612D67">
        <w:rPr>
          <w:rFonts w:ascii="Arial" w:hAnsi="Arial" w:cs="Arial"/>
          <w:i/>
        </w:rPr>
        <w:t>Native</w:t>
      </w:r>
      <w:r w:rsidR="00E01504" w:rsidRPr="00612D67">
        <w:rPr>
          <w:rFonts w:ascii="Arial" w:hAnsi="Arial" w:cs="Arial"/>
          <w:i/>
        </w:rPr>
        <w:t xml:space="preserve"> Gardens</w:t>
      </w:r>
      <w:r w:rsidRPr="00612D67">
        <w:rPr>
          <w:rFonts w:ascii="Arial" w:hAnsi="Arial" w:cs="Arial"/>
        </w:rPr>
        <w:t xml:space="preserve"> </w:t>
      </w:r>
      <w:r w:rsidR="00E01504" w:rsidRPr="00612D67">
        <w:rPr>
          <w:rFonts w:ascii="Arial" w:hAnsi="Arial" w:cs="Arial"/>
        </w:rPr>
        <w:t>for the year ended 31 March 2015</w:t>
      </w:r>
      <w:r w:rsidRPr="00612D67">
        <w:rPr>
          <w:rFonts w:ascii="Arial" w:hAnsi="Arial" w:cs="Arial"/>
        </w:rPr>
        <w:t>.</w:t>
      </w:r>
    </w:p>
    <w:tbl>
      <w:tblPr>
        <w:tblStyle w:val="TableGrid"/>
        <w:tblW w:w="103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1389"/>
        <w:gridCol w:w="4677"/>
        <w:gridCol w:w="1127"/>
      </w:tblGrid>
      <w:tr w:rsidR="00FE026B" w:rsidRPr="00B31F5E" w14:paraId="1B5B860D" w14:textId="77777777" w:rsidTr="00612D67">
        <w:tc>
          <w:tcPr>
            <w:tcW w:w="10307" w:type="dxa"/>
            <w:gridSpan w:val="4"/>
          </w:tcPr>
          <w:p w14:paraId="20C1C3E7" w14:textId="4B6030C9" w:rsidR="00272C6E" w:rsidRPr="00612D67" w:rsidRDefault="00497AAA" w:rsidP="00113E9B">
            <w:pPr>
              <w:jc w:val="center"/>
              <w:rPr>
                <w:rFonts w:ascii="Arial" w:hAnsi="Arial" w:cs="Arial"/>
                <w:i/>
              </w:rPr>
            </w:pPr>
            <w:r w:rsidRPr="00612D67">
              <w:rPr>
                <w:rFonts w:ascii="Arial" w:hAnsi="Arial" w:cs="Arial"/>
                <w:i/>
              </w:rPr>
              <w:t>Native</w:t>
            </w:r>
            <w:r w:rsidR="00E01504" w:rsidRPr="00612D67">
              <w:rPr>
                <w:rFonts w:ascii="Arial" w:hAnsi="Arial" w:cs="Arial"/>
                <w:i/>
              </w:rPr>
              <w:t xml:space="preserve"> Gardens</w:t>
            </w:r>
          </w:p>
          <w:p w14:paraId="43547D66" w14:textId="042F9CA9" w:rsidR="00113E9B" w:rsidRPr="00612D67" w:rsidRDefault="00113E9B" w:rsidP="009F1C31">
            <w:pPr>
              <w:jc w:val="center"/>
              <w:rPr>
                <w:rFonts w:ascii="Arial" w:hAnsi="Arial" w:cs="Arial"/>
                <w:highlight w:val="yellow"/>
              </w:rPr>
            </w:pPr>
            <w:r w:rsidRPr="00612D67">
              <w:rPr>
                <w:rFonts w:ascii="Arial" w:hAnsi="Arial" w:cs="Arial"/>
              </w:rPr>
              <w:t>Trial Balance</w:t>
            </w:r>
            <w:r w:rsidR="009F1C31" w:rsidRPr="00612D67">
              <w:rPr>
                <w:rFonts w:ascii="Arial" w:hAnsi="Arial" w:cs="Arial"/>
              </w:rPr>
              <w:t xml:space="preserve"> a</w:t>
            </w:r>
            <w:r w:rsidR="00E01504" w:rsidRPr="00612D67">
              <w:rPr>
                <w:rFonts w:ascii="Arial" w:hAnsi="Arial" w:cs="Arial"/>
              </w:rPr>
              <w:t>s at 31 March 2015</w:t>
            </w:r>
          </w:p>
        </w:tc>
      </w:tr>
      <w:tr w:rsidR="000C28BB" w:rsidRPr="00B31F5E" w14:paraId="6E35F5FB" w14:textId="77777777" w:rsidTr="00612D67">
        <w:tc>
          <w:tcPr>
            <w:tcW w:w="3114" w:type="dxa"/>
            <w:vAlign w:val="center"/>
          </w:tcPr>
          <w:p w14:paraId="1B9FF6BF" w14:textId="77777777" w:rsidR="000C28BB" w:rsidRPr="00612D67" w:rsidRDefault="000C28BB" w:rsidP="0058522A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62C9CDB5" w14:textId="272A8344" w:rsidR="000C28BB" w:rsidRPr="00612D67" w:rsidRDefault="000C28BB" w:rsidP="0058522A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$</w:t>
            </w:r>
          </w:p>
        </w:tc>
        <w:tc>
          <w:tcPr>
            <w:tcW w:w="4677" w:type="dxa"/>
            <w:vAlign w:val="center"/>
          </w:tcPr>
          <w:p w14:paraId="72E58E2A" w14:textId="77777777" w:rsidR="000C28BB" w:rsidRPr="00612D67" w:rsidRDefault="000C28BB" w:rsidP="0058522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6B8BD34C" w14:textId="24FA7C88" w:rsidR="000C28BB" w:rsidRPr="00612D67" w:rsidRDefault="000C28BB" w:rsidP="0058522A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$</w:t>
            </w:r>
          </w:p>
        </w:tc>
      </w:tr>
      <w:tr w:rsidR="002B6B93" w:rsidRPr="00B31F5E" w14:paraId="14B32F31" w14:textId="77777777" w:rsidTr="00612D67">
        <w:tc>
          <w:tcPr>
            <w:tcW w:w="3114" w:type="dxa"/>
            <w:vAlign w:val="bottom"/>
          </w:tcPr>
          <w:p w14:paraId="6317156E" w14:textId="531C2B15" w:rsidR="002B6B93" w:rsidRPr="00612D67" w:rsidRDefault="002B6B93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Advertising</w:t>
            </w:r>
          </w:p>
        </w:tc>
        <w:tc>
          <w:tcPr>
            <w:tcW w:w="1389" w:type="dxa"/>
            <w:vAlign w:val="bottom"/>
          </w:tcPr>
          <w:p w14:paraId="079E0C15" w14:textId="5023D6CE" w:rsidR="002B6B93" w:rsidRPr="00612D67" w:rsidRDefault="002B6B93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2 350</w:t>
            </w:r>
          </w:p>
        </w:tc>
        <w:tc>
          <w:tcPr>
            <w:tcW w:w="4677" w:type="dxa"/>
            <w:vAlign w:val="bottom"/>
          </w:tcPr>
          <w:p w14:paraId="5542436A" w14:textId="4668A4EA" w:rsidR="002B6B93" w:rsidRPr="00612D67" w:rsidRDefault="002B6B93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Accumulated </w:t>
            </w:r>
            <w:r w:rsidR="00B31F5E">
              <w:rPr>
                <w:rFonts w:ascii="Arial" w:hAnsi="Arial" w:cs="Arial"/>
                <w:color w:val="000000"/>
              </w:rPr>
              <w:t>d</w:t>
            </w:r>
            <w:r w:rsidRPr="00612D67">
              <w:rPr>
                <w:rFonts w:ascii="Arial" w:hAnsi="Arial" w:cs="Arial"/>
                <w:color w:val="000000"/>
              </w:rPr>
              <w:t xml:space="preserve">epreciation - </w:t>
            </w:r>
            <w:r w:rsidR="00B31F5E">
              <w:rPr>
                <w:rFonts w:ascii="Arial" w:hAnsi="Arial" w:cs="Arial"/>
                <w:color w:val="000000"/>
              </w:rPr>
              <w:t>b</w:t>
            </w:r>
            <w:r w:rsidRPr="00612D67">
              <w:rPr>
                <w:rFonts w:ascii="Arial" w:hAnsi="Arial" w:cs="Arial"/>
                <w:color w:val="000000"/>
              </w:rPr>
              <w:t>uildings</w:t>
            </w:r>
          </w:p>
        </w:tc>
        <w:tc>
          <w:tcPr>
            <w:tcW w:w="1127" w:type="dxa"/>
            <w:vAlign w:val="bottom"/>
          </w:tcPr>
          <w:p w14:paraId="6A2125C7" w14:textId="13C0C459" w:rsidR="002B6B93" w:rsidRPr="00612D67" w:rsidRDefault="002B6B93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22 000</w:t>
            </w:r>
          </w:p>
        </w:tc>
      </w:tr>
      <w:tr w:rsidR="00491D6D" w:rsidRPr="00B31F5E" w14:paraId="27F3E1EF" w14:textId="77777777" w:rsidTr="00612D67">
        <w:tc>
          <w:tcPr>
            <w:tcW w:w="3114" w:type="dxa"/>
            <w:vAlign w:val="bottom"/>
          </w:tcPr>
          <w:p w14:paraId="392633DB" w14:textId="72ECFB86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Bank</w:t>
            </w:r>
          </w:p>
        </w:tc>
        <w:tc>
          <w:tcPr>
            <w:tcW w:w="1389" w:type="dxa"/>
            <w:vAlign w:val="bottom"/>
          </w:tcPr>
          <w:p w14:paraId="09A03639" w14:textId="09F48D9B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4 450</w:t>
            </w:r>
          </w:p>
        </w:tc>
        <w:tc>
          <w:tcPr>
            <w:tcW w:w="4677" w:type="dxa"/>
            <w:vAlign w:val="bottom"/>
          </w:tcPr>
          <w:p w14:paraId="624CDE21" w14:textId="09324F04" w:rsidR="00491D6D" w:rsidRPr="00612D67" w:rsidRDefault="00491D6D" w:rsidP="002B6B93">
            <w:pPr>
              <w:rPr>
                <w:rFonts w:ascii="Arial" w:hAnsi="Arial" w:cs="Arial"/>
                <w:sz w:val="21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Accumulated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612D67">
              <w:rPr>
                <w:rFonts w:ascii="Arial" w:hAnsi="Arial" w:cs="Arial"/>
                <w:color w:val="000000"/>
              </w:rPr>
              <w:t xml:space="preserve">epreciation – </w:t>
            </w:r>
            <w:r>
              <w:rPr>
                <w:rFonts w:ascii="Arial" w:hAnsi="Arial" w:cs="Arial"/>
                <w:color w:val="000000"/>
              </w:rPr>
              <w:t>g</w:t>
            </w:r>
            <w:r w:rsidRPr="00612D67">
              <w:rPr>
                <w:rFonts w:ascii="Arial" w:hAnsi="Arial" w:cs="Arial"/>
                <w:color w:val="000000"/>
              </w:rPr>
              <w:t xml:space="preserve">arden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612D67">
              <w:rPr>
                <w:rFonts w:ascii="Arial" w:hAnsi="Arial" w:cs="Arial"/>
                <w:color w:val="000000"/>
              </w:rPr>
              <w:t xml:space="preserve">entre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612D67">
              <w:rPr>
                <w:rFonts w:ascii="Arial" w:hAnsi="Arial" w:cs="Arial"/>
                <w:color w:val="000000"/>
              </w:rPr>
              <w:t>ittings</w:t>
            </w:r>
          </w:p>
        </w:tc>
        <w:tc>
          <w:tcPr>
            <w:tcW w:w="1127" w:type="dxa"/>
            <w:vAlign w:val="bottom"/>
          </w:tcPr>
          <w:p w14:paraId="39F28562" w14:textId="663CE678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7 500</w:t>
            </w:r>
          </w:p>
        </w:tc>
      </w:tr>
      <w:tr w:rsidR="00491D6D" w:rsidRPr="00B31F5E" w14:paraId="60484E43" w14:textId="77777777" w:rsidTr="009A28D7">
        <w:tc>
          <w:tcPr>
            <w:tcW w:w="3114" w:type="dxa"/>
            <w:vAlign w:val="bottom"/>
          </w:tcPr>
          <w:p w14:paraId="522F65CA" w14:textId="52B6A770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Buildings</w:t>
            </w:r>
          </w:p>
        </w:tc>
        <w:tc>
          <w:tcPr>
            <w:tcW w:w="1389" w:type="dxa"/>
            <w:vAlign w:val="center"/>
          </w:tcPr>
          <w:p w14:paraId="7F60D9A9" w14:textId="05E934F3" w:rsidR="00491D6D" w:rsidRPr="00612D67" w:rsidRDefault="00491D6D" w:rsidP="00491D6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154 000</w:t>
            </w:r>
          </w:p>
        </w:tc>
        <w:tc>
          <w:tcPr>
            <w:tcW w:w="4677" w:type="dxa"/>
            <w:vAlign w:val="bottom"/>
          </w:tcPr>
          <w:p w14:paraId="418B1C16" w14:textId="03FB9983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Accumulated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612D67">
              <w:rPr>
                <w:rFonts w:ascii="Arial" w:hAnsi="Arial" w:cs="Arial"/>
                <w:color w:val="000000"/>
              </w:rPr>
              <w:t xml:space="preserve">epreciation -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612D67">
              <w:rPr>
                <w:rFonts w:ascii="Arial" w:hAnsi="Arial" w:cs="Arial"/>
                <w:color w:val="000000"/>
              </w:rPr>
              <w:t xml:space="preserve">ffice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612D67">
              <w:rPr>
                <w:rFonts w:ascii="Arial" w:hAnsi="Arial" w:cs="Arial"/>
                <w:color w:val="000000"/>
              </w:rPr>
              <w:t>quipment</w:t>
            </w:r>
          </w:p>
        </w:tc>
        <w:tc>
          <w:tcPr>
            <w:tcW w:w="1127" w:type="dxa"/>
            <w:vAlign w:val="bottom"/>
          </w:tcPr>
          <w:p w14:paraId="10C13CDB" w14:textId="4962660E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1 300</w:t>
            </w:r>
          </w:p>
        </w:tc>
      </w:tr>
      <w:tr w:rsidR="00491D6D" w:rsidRPr="00B31F5E" w14:paraId="0227EAF4" w14:textId="77777777" w:rsidTr="00612D67">
        <w:tc>
          <w:tcPr>
            <w:tcW w:w="3114" w:type="dxa"/>
            <w:vAlign w:val="bottom"/>
          </w:tcPr>
          <w:p w14:paraId="50EF3CBA" w14:textId="400695CF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Drawings</w:t>
            </w:r>
          </w:p>
        </w:tc>
        <w:tc>
          <w:tcPr>
            <w:tcW w:w="1389" w:type="dxa"/>
            <w:vAlign w:val="bottom"/>
          </w:tcPr>
          <w:p w14:paraId="04F983FD" w14:textId="5EA1063F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23 500</w:t>
            </w:r>
          </w:p>
        </w:tc>
        <w:tc>
          <w:tcPr>
            <w:tcW w:w="4677" w:type="dxa"/>
            <w:vAlign w:val="bottom"/>
          </w:tcPr>
          <w:p w14:paraId="73494145" w14:textId="237C9BAF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Capital</w:t>
            </w:r>
          </w:p>
        </w:tc>
        <w:tc>
          <w:tcPr>
            <w:tcW w:w="1127" w:type="dxa"/>
            <w:vAlign w:val="bottom"/>
          </w:tcPr>
          <w:p w14:paraId="5C59F564" w14:textId="058F0DE9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132 120</w:t>
            </w:r>
          </w:p>
        </w:tc>
      </w:tr>
      <w:tr w:rsidR="00491D6D" w:rsidRPr="00B31F5E" w14:paraId="3061B78C" w14:textId="77777777" w:rsidTr="00612D67">
        <w:tc>
          <w:tcPr>
            <w:tcW w:w="3114" w:type="dxa"/>
            <w:vAlign w:val="bottom"/>
          </w:tcPr>
          <w:p w14:paraId="506D3C26" w14:textId="47F9C02D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Electricity</w:t>
            </w:r>
          </w:p>
        </w:tc>
        <w:tc>
          <w:tcPr>
            <w:tcW w:w="1389" w:type="dxa"/>
            <w:vAlign w:val="bottom"/>
          </w:tcPr>
          <w:p w14:paraId="09A96FC7" w14:textId="62799306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2 240</w:t>
            </w:r>
          </w:p>
        </w:tc>
        <w:tc>
          <w:tcPr>
            <w:tcW w:w="4677" w:type="dxa"/>
            <w:vAlign w:val="bottom"/>
          </w:tcPr>
          <w:p w14:paraId="4431D3F9" w14:textId="5A58D137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Dividends received</w:t>
            </w:r>
          </w:p>
        </w:tc>
        <w:tc>
          <w:tcPr>
            <w:tcW w:w="1127" w:type="dxa"/>
            <w:vAlign w:val="bottom"/>
          </w:tcPr>
          <w:p w14:paraId="469DD784" w14:textId="5EDF6B1D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 600</w:t>
            </w:r>
          </w:p>
        </w:tc>
      </w:tr>
      <w:tr w:rsidR="00491D6D" w:rsidRPr="00B31F5E" w14:paraId="7F80857C" w14:textId="77777777" w:rsidTr="00612D67">
        <w:tc>
          <w:tcPr>
            <w:tcW w:w="3114" w:type="dxa"/>
            <w:vAlign w:val="bottom"/>
          </w:tcPr>
          <w:p w14:paraId="2FCB5279" w14:textId="2A21C154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Freight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612D6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89" w:type="dxa"/>
            <w:vAlign w:val="bottom"/>
          </w:tcPr>
          <w:p w14:paraId="2627B2EB" w14:textId="6D0A3BD9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 600</w:t>
            </w:r>
          </w:p>
        </w:tc>
        <w:tc>
          <w:tcPr>
            <w:tcW w:w="4677" w:type="dxa"/>
            <w:vAlign w:val="bottom"/>
          </w:tcPr>
          <w:p w14:paraId="5C07955F" w14:textId="73380AAB" w:rsidR="00491D6D" w:rsidRPr="00612D67" w:rsidRDefault="00491D6D" w:rsidP="002B6B93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GST payable</w:t>
            </w:r>
          </w:p>
        </w:tc>
        <w:tc>
          <w:tcPr>
            <w:tcW w:w="1127" w:type="dxa"/>
            <w:vAlign w:val="bottom"/>
          </w:tcPr>
          <w:p w14:paraId="29FA399A" w14:textId="3C1D1293" w:rsidR="00491D6D" w:rsidRPr="00612D67" w:rsidRDefault="00491D6D" w:rsidP="002B6B93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4 480</w:t>
            </w:r>
          </w:p>
        </w:tc>
      </w:tr>
      <w:tr w:rsidR="00491D6D" w:rsidRPr="00B31F5E" w14:paraId="7D703115" w14:textId="77777777" w:rsidTr="00612D67">
        <w:tc>
          <w:tcPr>
            <w:tcW w:w="3114" w:type="dxa"/>
            <w:vAlign w:val="bottom"/>
          </w:tcPr>
          <w:p w14:paraId="008DDD43" w14:textId="4DFC58DB" w:rsidR="00491D6D" w:rsidRPr="00612D67" w:rsidRDefault="00491D6D" w:rsidP="00B31F5E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Garden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612D67">
              <w:rPr>
                <w:rFonts w:ascii="Arial" w:hAnsi="Arial" w:cs="Arial"/>
                <w:color w:val="000000"/>
              </w:rPr>
              <w:t>entre fittings</w:t>
            </w:r>
          </w:p>
        </w:tc>
        <w:tc>
          <w:tcPr>
            <w:tcW w:w="1389" w:type="dxa"/>
            <w:vAlign w:val="bottom"/>
          </w:tcPr>
          <w:p w14:paraId="5D6E0684" w14:textId="163D063A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34 500</w:t>
            </w:r>
          </w:p>
        </w:tc>
        <w:tc>
          <w:tcPr>
            <w:tcW w:w="4677" w:type="dxa"/>
            <w:vAlign w:val="bottom"/>
          </w:tcPr>
          <w:p w14:paraId="60FCD21D" w14:textId="3A4B4177" w:rsidR="00491D6D" w:rsidRPr="00612D67" w:rsidRDefault="00491D6D" w:rsidP="00B31F5E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Mortgage </w:t>
            </w:r>
            <w:r>
              <w:rPr>
                <w:rFonts w:ascii="Arial" w:hAnsi="Arial" w:cs="Arial"/>
                <w:color w:val="000000"/>
              </w:rPr>
              <w:t>(due 2025)</w:t>
            </w:r>
          </w:p>
        </w:tc>
        <w:tc>
          <w:tcPr>
            <w:tcW w:w="1127" w:type="dxa"/>
            <w:vAlign w:val="bottom"/>
          </w:tcPr>
          <w:p w14:paraId="5E1597DF" w14:textId="425E5F7A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75 000</w:t>
            </w:r>
          </w:p>
        </w:tc>
      </w:tr>
      <w:tr w:rsidR="00491D6D" w:rsidRPr="00B31F5E" w14:paraId="6199A64E" w14:textId="77777777" w:rsidTr="00612D67">
        <w:tc>
          <w:tcPr>
            <w:tcW w:w="3114" w:type="dxa"/>
            <w:vAlign w:val="bottom"/>
          </w:tcPr>
          <w:p w14:paraId="5417E21F" w14:textId="2D0DE222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Garden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612D67">
              <w:rPr>
                <w:rFonts w:ascii="Arial" w:hAnsi="Arial" w:cs="Arial"/>
                <w:color w:val="000000"/>
              </w:rPr>
              <w:t>entre wages</w:t>
            </w:r>
          </w:p>
        </w:tc>
        <w:tc>
          <w:tcPr>
            <w:tcW w:w="1389" w:type="dxa"/>
            <w:vAlign w:val="bottom"/>
          </w:tcPr>
          <w:p w14:paraId="334AA3E4" w14:textId="1DDFE1F9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29 800</w:t>
            </w:r>
          </w:p>
        </w:tc>
        <w:tc>
          <w:tcPr>
            <w:tcW w:w="4677" w:type="dxa"/>
            <w:vAlign w:val="bottom"/>
          </w:tcPr>
          <w:p w14:paraId="517E397E" w14:textId="2E4A68E7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Purchase returns</w:t>
            </w:r>
          </w:p>
        </w:tc>
        <w:tc>
          <w:tcPr>
            <w:tcW w:w="1127" w:type="dxa"/>
            <w:vAlign w:val="bottom"/>
          </w:tcPr>
          <w:p w14:paraId="7270848A" w14:textId="3981AF80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1 470</w:t>
            </w:r>
          </w:p>
        </w:tc>
      </w:tr>
      <w:tr w:rsidR="00491D6D" w:rsidRPr="00B31F5E" w14:paraId="356E40AA" w14:textId="77777777" w:rsidTr="00612D67">
        <w:tc>
          <w:tcPr>
            <w:tcW w:w="3114" w:type="dxa"/>
            <w:vAlign w:val="bottom"/>
          </w:tcPr>
          <w:p w14:paraId="5E8DE80F" w14:textId="0B2C5D64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General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612D67">
              <w:rPr>
                <w:rFonts w:ascii="Arial" w:hAnsi="Arial" w:cs="Arial"/>
                <w:color w:val="000000"/>
              </w:rPr>
              <w:t>xpenses</w:t>
            </w:r>
          </w:p>
        </w:tc>
        <w:tc>
          <w:tcPr>
            <w:tcW w:w="1389" w:type="dxa"/>
            <w:vAlign w:val="bottom"/>
          </w:tcPr>
          <w:p w14:paraId="050C6C9B" w14:textId="6D2FFAFB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3 440</w:t>
            </w:r>
          </w:p>
        </w:tc>
        <w:tc>
          <w:tcPr>
            <w:tcW w:w="4677" w:type="dxa"/>
            <w:vAlign w:val="bottom"/>
          </w:tcPr>
          <w:p w14:paraId="48AF3207" w14:textId="15176CA4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Sales</w:t>
            </w:r>
          </w:p>
        </w:tc>
        <w:tc>
          <w:tcPr>
            <w:tcW w:w="1127" w:type="dxa"/>
            <w:vAlign w:val="bottom"/>
          </w:tcPr>
          <w:p w14:paraId="041F0778" w14:textId="3F3695B8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205 700</w:t>
            </w:r>
          </w:p>
        </w:tc>
      </w:tr>
      <w:tr w:rsidR="00491D6D" w:rsidRPr="00B31F5E" w14:paraId="346FEF70" w14:textId="77777777" w:rsidTr="00612D67">
        <w:tc>
          <w:tcPr>
            <w:tcW w:w="3114" w:type="dxa"/>
            <w:vAlign w:val="bottom"/>
          </w:tcPr>
          <w:p w14:paraId="61B38AD4" w14:textId="64BC590E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Insurance</w:t>
            </w:r>
          </w:p>
        </w:tc>
        <w:tc>
          <w:tcPr>
            <w:tcW w:w="1389" w:type="dxa"/>
            <w:vAlign w:val="bottom"/>
          </w:tcPr>
          <w:p w14:paraId="3FE1D563" w14:textId="28B16141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1 800</w:t>
            </w:r>
          </w:p>
        </w:tc>
        <w:tc>
          <w:tcPr>
            <w:tcW w:w="4677" w:type="dxa"/>
            <w:vAlign w:val="bottom"/>
          </w:tcPr>
          <w:p w14:paraId="55C3FFCB" w14:textId="1AC69A55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bottom"/>
          </w:tcPr>
          <w:p w14:paraId="5B38FDDD" w14:textId="094EF724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7348A625" w14:textId="77777777" w:rsidTr="00612D67">
        <w:tc>
          <w:tcPr>
            <w:tcW w:w="3114" w:type="dxa"/>
            <w:vAlign w:val="bottom"/>
          </w:tcPr>
          <w:p w14:paraId="037F517C" w14:textId="37ECB50F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Interest on mortgage</w:t>
            </w:r>
          </w:p>
        </w:tc>
        <w:tc>
          <w:tcPr>
            <w:tcW w:w="1389" w:type="dxa"/>
            <w:vAlign w:val="bottom"/>
          </w:tcPr>
          <w:p w14:paraId="4665A364" w14:textId="0EEACE01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3 100</w:t>
            </w:r>
          </w:p>
        </w:tc>
        <w:tc>
          <w:tcPr>
            <w:tcW w:w="4677" w:type="dxa"/>
            <w:vAlign w:val="bottom"/>
          </w:tcPr>
          <w:p w14:paraId="443A06A6" w14:textId="6C998AFA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bottom"/>
          </w:tcPr>
          <w:p w14:paraId="011DE78C" w14:textId="54B63199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3A51AAA2" w14:textId="77777777" w:rsidTr="00612D67">
        <w:tc>
          <w:tcPr>
            <w:tcW w:w="3114" w:type="dxa"/>
            <w:vAlign w:val="bottom"/>
          </w:tcPr>
          <w:p w14:paraId="45416198" w14:textId="60EDAFC3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Inventory (1 April 2014)</w:t>
            </w:r>
          </w:p>
        </w:tc>
        <w:tc>
          <w:tcPr>
            <w:tcW w:w="1389" w:type="dxa"/>
            <w:vAlign w:val="bottom"/>
          </w:tcPr>
          <w:p w14:paraId="7849F01D" w14:textId="197CBCE9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12 540</w:t>
            </w:r>
          </w:p>
        </w:tc>
        <w:tc>
          <w:tcPr>
            <w:tcW w:w="4677" w:type="dxa"/>
            <w:vAlign w:val="center"/>
          </w:tcPr>
          <w:p w14:paraId="478D77F4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93FA961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569C294A" w14:textId="77777777" w:rsidTr="00612D67">
        <w:tc>
          <w:tcPr>
            <w:tcW w:w="3114" w:type="dxa"/>
            <w:vAlign w:val="bottom"/>
          </w:tcPr>
          <w:p w14:paraId="6A0BCBC3" w14:textId="6167EDCA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Land</w:t>
            </w:r>
          </w:p>
        </w:tc>
        <w:tc>
          <w:tcPr>
            <w:tcW w:w="1389" w:type="dxa"/>
            <w:vAlign w:val="bottom"/>
          </w:tcPr>
          <w:p w14:paraId="6194D98B" w14:textId="6B1A5298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55 000</w:t>
            </w:r>
          </w:p>
        </w:tc>
        <w:tc>
          <w:tcPr>
            <w:tcW w:w="4677" w:type="dxa"/>
            <w:vAlign w:val="center"/>
          </w:tcPr>
          <w:p w14:paraId="266AA44E" w14:textId="21437B0D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642E1302" w14:textId="56C6BCBD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5325B3A0" w14:textId="77777777" w:rsidTr="00612D67">
        <w:tc>
          <w:tcPr>
            <w:tcW w:w="3114" w:type="dxa"/>
            <w:vAlign w:val="bottom"/>
          </w:tcPr>
          <w:p w14:paraId="3FE8D57F" w14:textId="6BDF86DB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Office equipment</w:t>
            </w:r>
          </w:p>
        </w:tc>
        <w:tc>
          <w:tcPr>
            <w:tcW w:w="1389" w:type="dxa"/>
            <w:vAlign w:val="bottom"/>
          </w:tcPr>
          <w:p w14:paraId="62534C44" w14:textId="7945604A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9 500</w:t>
            </w:r>
          </w:p>
        </w:tc>
        <w:tc>
          <w:tcPr>
            <w:tcW w:w="4677" w:type="dxa"/>
            <w:vAlign w:val="center"/>
          </w:tcPr>
          <w:p w14:paraId="30A1B275" w14:textId="1F41C9BF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647FF9B" w14:textId="74453CFE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1A9526CB" w14:textId="77777777" w:rsidTr="00612D67">
        <w:tc>
          <w:tcPr>
            <w:tcW w:w="3114" w:type="dxa"/>
            <w:vAlign w:val="bottom"/>
          </w:tcPr>
          <w:p w14:paraId="59F7A1AA" w14:textId="758BE3E7" w:rsidR="00491D6D" w:rsidRPr="00612D67" w:rsidRDefault="00491D6D" w:rsidP="00226FBD">
            <w:pPr>
              <w:rPr>
                <w:rFonts w:ascii="Arial" w:hAnsi="Arial" w:cs="Arial"/>
                <w:color w:val="000000"/>
              </w:rPr>
            </w:pPr>
            <w:r w:rsidRPr="00612D67">
              <w:rPr>
                <w:rFonts w:ascii="Arial" w:hAnsi="Arial" w:cs="Arial"/>
                <w:color w:val="000000"/>
              </w:rPr>
              <w:t>Office wages</w:t>
            </w:r>
          </w:p>
        </w:tc>
        <w:tc>
          <w:tcPr>
            <w:tcW w:w="1389" w:type="dxa"/>
            <w:vAlign w:val="bottom"/>
          </w:tcPr>
          <w:p w14:paraId="0C01D0AD" w14:textId="12B2F9D9" w:rsidR="00491D6D" w:rsidRPr="00612D67" w:rsidRDefault="00491D6D" w:rsidP="00226FBD">
            <w:pPr>
              <w:jc w:val="right"/>
              <w:rPr>
                <w:rFonts w:ascii="Arial" w:hAnsi="Arial" w:cs="Arial"/>
                <w:color w:val="000000"/>
              </w:rPr>
            </w:pPr>
            <w:r w:rsidRPr="00612D67">
              <w:rPr>
                <w:rFonts w:ascii="Arial" w:hAnsi="Arial" w:cs="Arial"/>
                <w:color w:val="000000"/>
              </w:rPr>
              <w:t>33 000</w:t>
            </w:r>
          </w:p>
        </w:tc>
        <w:tc>
          <w:tcPr>
            <w:tcW w:w="4677" w:type="dxa"/>
            <w:vAlign w:val="center"/>
          </w:tcPr>
          <w:p w14:paraId="3CAF2F20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27AFB3E5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60D42294" w14:textId="77777777" w:rsidTr="00612D67">
        <w:tc>
          <w:tcPr>
            <w:tcW w:w="3114" w:type="dxa"/>
            <w:vAlign w:val="bottom"/>
          </w:tcPr>
          <w:p w14:paraId="6868E48D" w14:textId="7727C714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Purchases</w:t>
            </w:r>
          </w:p>
        </w:tc>
        <w:tc>
          <w:tcPr>
            <w:tcW w:w="1389" w:type="dxa"/>
            <w:vAlign w:val="bottom"/>
          </w:tcPr>
          <w:p w14:paraId="1B14F6DA" w14:textId="4C0D54E2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65 800</w:t>
            </w:r>
          </w:p>
        </w:tc>
        <w:tc>
          <w:tcPr>
            <w:tcW w:w="4677" w:type="dxa"/>
            <w:vAlign w:val="center"/>
          </w:tcPr>
          <w:p w14:paraId="0E4EC5D1" w14:textId="6B486240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7F079460" w14:textId="0D03F12F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00B7FB82" w14:textId="77777777" w:rsidTr="009A28D7">
        <w:tc>
          <w:tcPr>
            <w:tcW w:w="3114" w:type="dxa"/>
            <w:vAlign w:val="bottom"/>
          </w:tcPr>
          <w:p w14:paraId="453F83C6" w14:textId="2AD343BE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Repairs to garden centre fittings</w:t>
            </w:r>
          </w:p>
        </w:tc>
        <w:tc>
          <w:tcPr>
            <w:tcW w:w="1389" w:type="dxa"/>
            <w:vAlign w:val="center"/>
          </w:tcPr>
          <w:p w14:paraId="30AF0E02" w14:textId="2407DBA3" w:rsidR="00491D6D" w:rsidRPr="00612D67" w:rsidRDefault="00491D6D" w:rsidP="00491D6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1 150</w:t>
            </w:r>
          </w:p>
        </w:tc>
        <w:tc>
          <w:tcPr>
            <w:tcW w:w="4677" w:type="dxa"/>
            <w:vAlign w:val="center"/>
          </w:tcPr>
          <w:p w14:paraId="46B93CB7" w14:textId="03850A83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B5B1817" w14:textId="3229AAAA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07A94C95" w14:textId="77777777" w:rsidTr="00612D67">
        <w:tc>
          <w:tcPr>
            <w:tcW w:w="3114" w:type="dxa"/>
            <w:vAlign w:val="bottom"/>
          </w:tcPr>
          <w:p w14:paraId="2D3852D7" w14:textId="5C81CFE9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Shares in </w:t>
            </w:r>
            <w:r w:rsidRPr="00612D67">
              <w:rPr>
                <w:rFonts w:ascii="Arial" w:hAnsi="Arial" w:cs="Arial"/>
                <w:i/>
                <w:color w:val="000000"/>
              </w:rPr>
              <w:t>Spark Ltd</w:t>
            </w:r>
          </w:p>
        </w:tc>
        <w:tc>
          <w:tcPr>
            <w:tcW w:w="1389" w:type="dxa"/>
            <w:vAlign w:val="bottom"/>
          </w:tcPr>
          <w:p w14:paraId="64CEC6D0" w14:textId="7B11F35C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4677" w:type="dxa"/>
            <w:vAlign w:val="center"/>
          </w:tcPr>
          <w:p w14:paraId="6BAE148E" w14:textId="0E4EFD00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0577ED4" w14:textId="71A2D194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61AC7A10" w14:textId="77777777" w:rsidTr="00612D67">
        <w:tc>
          <w:tcPr>
            <w:tcW w:w="3114" w:type="dxa"/>
            <w:vAlign w:val="bottom"/>
          </w:tcPr>
          <w:p w14:paraId="04EBA123" w14:textId="7ADD01AC" w:rsidR="00491D6D" w:rsidRPr="00612D67" w:rsidRDefault="00491D6D" w:rsidP="00226FBD">
            <w:pPr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 xml:space="preserve">Telephone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612D67">
              <w:rPr>
                <w:rFonts w:ascii="Arial" w:hAnsi="Arial" w:cs="Arial"/>
                <w:color w:val="000000"/>
              </w:rPr>
              <w:t xml:space="preserve"> internet</w:t>
            </w:r>
          </w:p>
        </w:tc>
        <w:tc>
          <w:tcPr>
            <w:tcW w:w="1389" w:type="dxa"/>
            <w:vAlign w:val="bottom"/>
          </w:tcPr>
          <w:p w14:paraId="5E91673F" w14:textId="2B75E073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  <w:color w:val="000000"/>
              </w:rPr>
              <w:t>2 400</w:t>
            </w:r>
          </w:p>
        </w:tc>
        <w:tc>
          <w:tcPr>
            <w:tcW w:w="4677" w:type="dxa"/>
            <w:vAlign w:val="center"/>
          </w:tcPr>
          <w:p w14:paraId="0B32CA2F" w14:textId="65BEE7C5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36832EF0" w14:textId="0C3B9B3B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1DE4E3D3" w14:textId="77777777" w:rsidTr="00612D67">
        <w:tc>
          <w:tcPr>
            <w:tcW w:w="3114" w:type="dxa"/>
            <w:vAlign w:val="bottom"/>
          </w:tcPr>
          <w:p w14:paraId="30D39F97" w14:textId="77B69F10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419E2D49" w14:textId="4B93948C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6C3C23A8" w14:textId="4EAC9842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5A30D193" w14:textId="56567AA9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5F1A1B59" w14:textId="77777777" w:rsidTr="00612D67">
        <w:tc>
          <w:tcPr>
            <w:tcW w:w="3114" w:type="dxa"/>
            <w:vAlign w:val="bottom"/>
          </w:tcPr>
          <w:p w14:paraId="7104CCF2" w14:textId="0CE5CDAB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60376210" w14:textId="1916707B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47B9ED48" w14:textId="0DB25014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2D0CB75" w14:textId="1EF73B80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6E91E917" w14:textId="77777777" w:rsidTr="00612D67">
        <w:tc>
          <w:tcPr>
            <w:tcW w:w="3114" w:type="dxa"/>
            <w:vAlign w:val="bottom"/>
          </w:tcPr>
          <w:p w14:paraId="1D612F1D" w14:textId="631DB2D1" w:rsidR="00491D6D" w:rsidRPr="00612D67" w:rsidRDefault="00491D6D" w:rsidP="00226F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vAlign w:val="bottom"/>
          </w:tcPr>
          <w:p w14:paraId="3459406E" w14:textId="6289FF8D" w:rsidR="00491D6D" w:rsidRPr="00612D67" w:rsidRDefault="00491D6D" w:rsidP="00226F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Align w:val="center"/>
          </w:tcPr>
          <w:p w14:paraId="5F098E15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0C9C9878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7AE48AF4" w14:textId="77777777" w:rsidTr="00612D67">
        <w:tc>
          <w:tcPr>
            <w:tcW w:w="3114" w:type="dxa"/>
            <w:vAlign w:val="bottom"/>
          </w:tcPr>
          <w:p w14:paraId="079808FE" w14:textId="47D0DB24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6E9D9BB6" w14:textId="40278973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2F6B9219" w14:textId="4A32E85F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CD0A205" w14:textId="38665E0D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27B5854F" w14:textId="77777777" w:rsidTr="00612D67">
        <w:tc>
          <w:tcPr>
            <w:tcW w:w="3114" w:type="dxa"/>
            <w:vAlign w:val="bottom"/>
          </w:tcPr>
          <w:p w14:paraId="3AC698EF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6FE5D58C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5F3E5C0F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765EA38E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20DF8F12" w14:textId="77777777" w:rsidTr="00612D67">
        <w:tc>
          <w:tcPr>
            <w:tcW w:w="3114" w:type="dxa"/>
            <w:vAlign w:val="bottom"/>
          </w:tcPr>
          <w:p w14:paraId="54A3C28A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296AFCA7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086B6851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B8D9025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54AA76C3" w14:textId="77777777" w:rsidTr="00612D67">
        <w:tc>
          <w:tcPr>
            <w:tcW w:w="3114" w:type="dxa"/>
            <w:vAlign w:val="bottom"/>
          </w:tcPr>
          <w:p w14:paraId="2D3563F3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744824C9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0EB8261D" w14:textId="77777777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499ADA03" w14:textId="7777777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6559ED64" w14:textId="77777777" w:rsidTr="00612D67">
        <w:tc>
          <w:tcPr>
            <w:tcW w:w="3114" w:type="dxa"/>
            <w:vAlign w:val="bottom"/>
          </w:tcPr>
          <w:p w14:paraId="79C7F1F3" w14:textId="3CE27559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0699F7B5" w14:textId="78F3D294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5BC09B1E" w14:textId="25E5B8EB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070BA8DD" w14:textId="24171DFA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</w:p>
        </w:tc>
      </w:tr>
      <w:tr w:rsidR="00491D6D" w:rsidRPr="00B31F5E" w14:paraId="4BA83C05" w14:textId="77777777" w:rsidTr="00612D67">
        <w:tc>
          <w:tcPr>
            <w:tcW w:w="3114" w:type="dxa"/>
            <w:vAlign w:val="bottom"/>
          </w:tcPr>
          <w:p w14:paraId="45F4FDA1" w14:textId="467F9640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bottom"/>
          </w:tcPr>
          <w:p w14:paraId="62B2DD55" w14:textId="7C0A7F97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450 170</w:t>
            </w:r>
          </w:p>
        </w:tc>
        <w:tc>
          <w:tcPr>
            <w:tcW w:w="4677" w:type="dxa"/>
            <w:vAlign w:val="center"/>
          </w:tcPr>
          <w:p w14:paraId="02E1E98A" w14:textId="1C9E5C6C" w:rsidR="00491D6D" w:rsidRPr="00612D67" w:rsidRDefault="00491D6D" w:rsidP="00226FB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2FC8F693" w14:textId="2606E3DA" w:rsidR="00491D6D" w:rsidRPr="00612D67" w:rsidRDefault="00491D6D" w:rsidP="00226FBD">
            <w:pPr>
              <w:jc w:val="right"/>
              <w:rPr>
                <w:rFonts w:ascii="Arial" w:hAnsi="Arial" w:cs="Arial"/>
              </w:rPr>
            </w:pPr>
            <w:r w:rsidRPr="00612D67">
              <w:rPr>
                <w:rFonts w:ascii="Arial" w:hAnsi="Arial" w:cs="Arial"/>
              </w:rPr>
              <w:t>450 170</w:t>
            </w:r>
          </w:p>
        </w:tc>
      </w:tr>
    </w:tbl>
    <w:p w14:paraId="10137BC3" w14:textId="77777777" w:rsidR="00407C76" w:rsidRPr="00612D67" w:rsidRDefault="00407C76">
      <w:pPr>
        <w:rPr>
          <w:rFonts w:ascii="Arial" w:hAnsi="Arial" w:cs="Arial"/>
          <w:highlight w:val="yellow"/>
        </w:rPr>
      </w:pPr>
      <w:r w:rsidRPr="00612D67">
        <w:rPr>
          <w:rFonts w:ascii="Arial" w:hAnsi="Arial" w:cs="Arial"/>
          <w:highlight w:val="yellow"/>
        </w:rPr>
        <w:br w:type="page"/>
      </w:r>
    </w:p>
    <w:p w14:paraId="567FA98D" w14:textId="77777777" w:rsidR="00C27F8F" w:rsidRPr="00612D67" w:rsidRDefault="00C27F8F">
      <w:pPr>
        <w:rPr>
          <w:rFonts w:ascii="Arial" w:hAnsi="Arial" w:cs="Arial"/>
          <w:b/>
        </w:rPr>
      </w:pPr>
      <w:r w:rsidRPr="00612D67">
        <w:rPr>
          <w:rFonts w:ascii="Arial" w:hAnsi="Arial" w:cs="Arial"/>
          <w:b/>
        </w:rPr>
        <w:lastRenderedPageBreak/>
        <w:t>Additional Information</w:t>
      </w:r>
    </w:p>
    <w:p w14:paraId="7A986B86" w14:textId="31A4BC90" w:rsidR="002E387B" w:rsidRPr="00612D67" w:rsidRDefault="002E387B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>In</w:t>
      </w:r>
      <w:r w:rsidR="0055124F" w:rsidRPr="00612D67">
        <w:rPr>
          <w:rFonts w:ascii="Arial" w:hAnsi="Arial" w:cs="Arial"/>
        </w:rPr>
        <w:t>ventory on hand at 31 March 2015 $9 950</w:t>
      </w:r>
    </w:p>
    <w:p w14:paraId="27115E59" w14:textId="77777777" w:rsidR="00497AAA" w:rsidRPr="00612D67" w:rsidRDefault="00497AAA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>Advertising of $450, excluding GST, has been paid in advance for the following year</w:t>
      </w:r>
    </w:p>
    <w:p w14:paraId="605D5306" w14:textId="77777777" w:rsidR="00497AAA" w:rsidRPr="00612D67" w:rsidRDefault="00497AAA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>Interest on mortgage of $650 is due on balance day</w:t>
      </w:r>
    </w:p>
    <w:p w14:paraId="7746ED16" w14:textId="77777777" w:rsidR="00497AAA" w:rsidRPr="00612D67" w:rsidRDefault="00497AAA" w:rsidP="00497AA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Dividends of $70 are due to be received </w:t>
      </w:r>
    </w:p>
    <w:p w14:paraId="4461E3B3" w14:textId="5DF9472B" w:rsidR="00C27F8F" w:rsidRPr="00612D67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Invoice on hand for </w:t>
      </w:r>
      <w:r w:rsidR="0090047D">
        <w:rPr>
          <w:rFonts w:ascii="Arial" w:hAnsi="Arial" w:cs="Arial"/>
        </w:rPr>
        <w:t>purchases</w:t>
      </w:r>
      <w:r w:rsidR="0055124F" w:rsidRPr="00612D67">
        <w:rPr>
          <w:rFonts w:ascii="Arial" w:hAnsi="Arial" w:cs="Arial"/>
        </w:rPr>
        <w:t xml:space="preserve"> $713</w:t>
      </w:r>
      <w:r w:rsidRPr="00612D67">
        <w:rPr>
          <w:rFonts w:ascii="Arial" w:hAnsi="Arial" w:cs="Arial"/>
        </w:rPr>
        <w:t>, including GST</w:t>
      </w:r>
    </w:p>
    <w:p w14:paraId="7A6912C8" w14:textId="29D66C14" w:rsidR="00570B88" w:rsidRPr="00612D67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Invoice on hand for the purchase of new </w:t>
      </w:r>
      <w:r w:rsidR="0090047D">
        <w:rPr>
          <w:rFonts w:ascii="Arial" w:hAnsi="Arial" w:cs="Arial"/>
        </w:rPr>
        <w:t>garden centre</w:t>
      </w:r>
      <w:r w:rsidR="0090047D" w:rsidRPr="00612D67">
        <w:rPr>
          <w:rFonts w:ascii="Arial" w:hAnsi="Arial" w:cs="Arial"/>
        </w:rPr>
        <w:t xml:space="preserve"> </w:t>
      </w:r>
      <w:r w:rsidR="002B6B93" w:rsidRPr="00612D67">
        <w:rPr>
          <w:rFonts w:ascii="Arial" w:hAnsi="Arial" w:cs="Arial"/>
        </w:rPr>
        <w:t>f</w:t>
      </w:r>
      <w:r w:rsidR="00337CB5" w:rsidRPr="00612D67">
        <w:rPr>
          <w:rFonts w:ascii="Arial" w:hAnsi="Arial" w:cs="Arial"/>
        </w:rPr>
        <w:t>ittings</w:t>
      </w:r>
      <w:r w:rsidR="0055124F" w:rsidRPr="00612D67">
        <w:rPr>
          <w:rFonts w:ascii="Arial" w:hAnsi="Arial" w:cs="Arial"/>
        </w:rPr>
        <w:t xml:space="preserve"> $1 265</w:t>
      </w:r>
      <w:r w:rsidRPr="00612D67">
        <w:rPr>
          <w:rFonts w:ascii="Arial" w:hAnsi="Arial" w:cs="Arial"/>
        </w:rPr>
        <w:t>, including GST</w:t>
      </w:r>
    </w:p>
    <w:p w14:paraId="2C026ACF" w14:textId="711C7170" w:rsidR="005B214D" w:rsidRPr="00612D67" w:rsidRDefault="005B21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Invoice on hand for sales </w:t>
      </w:r>
      <w:r w:rsidR="0055124F" w:rsidRPr="00612D67">
        <w:rPr>
          <w:rFonts w:ascii="Arial" w:hAnsi="Arial" w:cs="Arial"/>
        </w:rPr>
        <w:t>of $1 610</w:t>
      </w:r>
      <w:r w:rsidRPr="00612D67">
        <w:rPr>
          <w:rFonts w:ascii="Arial" w:hAnsi="Arial" w:cs="Arial"/>
        </w:rPr>
        <w:t>, including GST</w:t>
      </w:r>
    </w:p>
    <w:p w14:paraId="3177FB02" w14:textId="7D6C0C91" w:rsidR="00407C76" w:rsidRPr="00612D67" w:rsidRDefault="00407C76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B31F5E">
        <w:rPr>
          <w:rFonts w:ascii="Arial" w:hAnsi="Arial" w:cs="Arial"/>
        </w:rPr>
        <w:t>b</w:t>
      </w:r>
      <w:r w:rsidR="0055124F" w:rsidRPr="00612D67">
        <w:rPr>
          <w:rFonts w:ascii="Arial" w:hAnsi="Arial" w:cs="Arial"/>
        </w:rPr>
        <w:t>uildings</w:t>
      </w:r>
      <w:r w:rsidRPr="00612D67">
        <w:rPr>
          <w:rFonts w:ascii="Arial" w:hAnsi="Arial" w:cs="Arial"/>
        </w:rPr>
        <w:t xml:space="preserve"> is</w:t>
      </w:r>
      <w:r w:rsidR="001B2ED9" w:rsidRPr="00612D67">
        <w:rPr>
          <w:rFonts w:ascii="Arial" w:hAnsi="Arial" w:cs="Arial"/>
        </w:rPr>
        <w:t xml:space="preserve"> </w:t>
      </w:r>
      <w:r w:rsidR="00E22995">
        <w:rPr>
          <w:rFonts w:ascii="Arial" w:hAnsi="Arial" w:cs="Arial"/>
        </w:rPr>
        <w:t>$6 160 per annum</w:t>
      </w:r>
    </w:p>
    <w:p w14:paraId="62E5483A" w14:textId="73DD4F1B" w:rsidR="00407C76" w:rsidRPr="00612D67" w:rsidRDefault="00407C76" w:rsidP="002B6B9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B31F5E">
        <w:rPr>
          <w:rFonts w:ascii="Arial" w:hAnsi="Arial" w:cs="Arial"/>
        </w:rPr>
        <w:t>g</w:t>
      </w:r>
      <w:r w:rsidR="00226FBD" w:rsidRPr="00612D67">
        <w:rPr>
          <w:rFonts w:ascii="Arial" w:hAnsi="Arial" w:cs="Arial"/>
        </w:rPr>
        <w:t xml:space="preserve">arden </w:t>
      </w:r>
      <w:r w:rsidR="00B31F5E">
        <w:rPr>
          <w:rFonts w:ascii="Arial" w:hAnsi="Arial" w:cs="Arial"/>
        </w:rPr>
        <w:t>c</w:t>
      </w:r>
      <w:r w:rsidR="00226FBD" w:rsidRPr="00612D67">
        <w:rPr>
          <w:rFonts w:ascii="Arial" w:hAnsi="Arial" w:cs="Arial"/>
        </w:rPr>
        <w:t>entre</w:t>
      </w:r>
      <w:r w:rsidR="002B6B93" w:rsidRPr="00612D67">
        <w:rPr>
          <w:rFonts w:ascii="Arial" w:hAnsi="Arial" w:cs="Arial"/>
        </w:rPr>
        <w:t xml:space="preserve"> </w:t>
      </w:r>
      <w:r w:rsidR="00B31F5E">
        <w:rPr>
          <w:rFonts w:ascii="Arial" w:hAnsi="Arial" w:cs="Arial"/>
        </w:rPr>
        <w:t>f</w:t>
      </w:r>
      <w:r w:rsidR="00337CB5" w:rsidRPr="00612D67">
        <w:rPr>
          <w:rFonts w:ascii="Arial" w:hAnsi="Arial" w:cs="Arial"/>
        </w:rPr>
        <w:t>ittings</w:t>
      </w:r>
      <w:r w:rsidRPr="00612D67">
        <w:rPr>
          <w:rFonts w:ascii="Arial" w:hAnsi="Arial" w:cs="Arial"/>
        </w:rPr>
        <w:t xml:space="preserve"> is </w:t>
      </w:r>
      <w:r w:rsidR="0055124F" w:rsidRPr="00612D67">
        <w:rPr>
          <w:rFonts w:ascii="Arial" w:hAnsi="Arial" w:cs="Arial"/>
        </w:rPr>
        <w:t>$1 50</w:t>
      </w:r>
      <w:r w:rsidR="00B8524D" w:rsidRPr="00612D67">
        <w:rPr>
          <w:rFonts w:ascii="Arial" w:hAnsi="Arial" w:cs="Arial"/>
        </w:rPr>
        <w:t>0 per annum</w:t>
      </w:r>
    </w:p>
    <w:p w14:paraId="1110C45F" w14:textId="4E6217C8" w:rsidR="00B8524D" w:rsidRPr="00612D67" w:rsidRDefault="00B852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 xml:space="preserve">Depreciation on </w:t>
      </w:r>
      <w:r w:rsidR="00B31F5E">
        <w:rPr>
          <w:rFonts w:ascii="Arial" w:hAnsi="Arial" w:cs="Arial"/>
        </w:rPr>
        <w:t>o</w:t>
      </w:r>
      <w:r w:rsidR="0055124F" w:rsidRPr="00612D67">
        <w:rPr>
          <w:rFonts w:ascii="Arial" w:hAnsi="Arial" w:cs="Arial"/>
        </w:rPr>
        <w:t xml:space="preserve">ffice </w:t>
      </w:r>
      <w:r w:rsidR="00B31F5E">
        <w:rPr>
          <w:rFonts w:ascii="Arial" w:hAnsi="Arial" w:cs="Arial"/>
        </w:rPr>
        <w:t>e</w:t>
      </w:r>
      <w:r w:rsidR="0055124F" w:rsidRPr="00612D67">
        <w:rPr>
          <w:rFonts w:ascii="Arial" w:hAnsi="Arial" w:cs="Arial"/>
        </w:rPr>
        <w:t>quipment</w:t>
      </w:r>
      <w:r w:rsidR="00EC0B95" w:rsidRPr="00612D67">
        <w:rPr>
          <w:rFonts w:ascii="Arial" w:hAnsi="Arial" w:cs="Arial"/>
        </w:rPr>
        <w:t xml:space="preserve"> is ba</w:t>
      </w:r>
      <w:r w:rsidR="0055124F" w:rsidRPr="00612D67">
        <w:rPr>
          <w:rFonts w:ascii="Arial" w:hAnsi="Arial" w:cs="Arial"/>
        </w:rPr>
        <w:t>sed on a residual value of $1 4</w:t>
      </w:r>
      <w:r w:rsidR="00EC0B95" w:rsidRPr="00612D67">
        <w:rPr>
          <w:rFonts w:ascii="Arial" w:hAnsi="Arial" w:cs="Arial"/>
        </w:rPr>
        <w:t xml:space="preserve">00 and an </w:t>
      </w:r>
      <w:r w:rsidRPr="00612D67">
        <w:rPr>
          <w:rFonts w:ascii="Arial" w:hAnsi="Arial" w:cs="Arial"/>
        </w:rPr>
        <w:t xml:space="preserve">estimated </w:t>
      </w:r>
      <w:r w:rsidR="00FB5B86" w:rsidRPr="00612D67">
        <w:rPr>
          <w:rFonts w:ascii="Arial" w:hAnsi="Arial" w:cs="Arial"/>
        </w:rPr>
        <w:t xml:space="preserve">useful </w:t>
      </w:r>
      <w:r w:rsidRPr="00612D67">
        <w:rPr>
          <w:rFonts w:ascii="Arial" w:hAnsi="Arial" w:cs="Arial"/>
        </w:rPr>
        <w:t xml:space="preserve">life of </w:t>
      </w:r>
      <w:r w:rsidR="0055124F" w:rsidRPr="00612D67">
        <w:rPr>
          <w:rFonts w:ascii="Arial" w:hAnsi="Arial" w:cs="Arial"/>
        </w:rPr>
        <w:t xml:space="preserve">5 </w:t>
      </w:r>
      <w:r w:rsidRPr="00612D67">
        <w:rPr>
          <w:rFonts w:ascii="Arial" w:hAnsi="Arial" w:cs="Arial"/>
        </w:rPr>
        <w:t>yea</w:t>
      </w:r>
      <w:r w:rsidR="00EC0B95" w:rsidRPr="00612D67">
        <w:rPr>
          <w:rFonts w:ascii="Arial" w:hAnsi="Arial" w:cs="Arial"/>
        </w:rPr>
        <w:t>rs</w:t>
      </w:r>
    </w:p>
    <w:p w14:paraId="4B4A282F" w14:textId="2EADBF94" w:rsidR="00407C76" w:rsidRPr="00612D67" w:rsidRDefault="0055124F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612D67">
        <w:rPr>
          <w:rFonts w:ascii="Arial" w:hAnsi="Arial" w:cs="Arial"/>
        </w:rPr>
        <w:t>Insurance</w:t>
      </w:r>
      <w:r w:rsidR="00407C76" w:rsidRPr="00612D67">
        <w:rPr>
          <w:rFonts w:ascii="Arial" w:hAnsi="Arial" w:cs="Arial"/>
        </w:rPr>
        <w:t xml:space="preserve"> should be allocated </w:t>
      </w:r>
      <w:r w:rsidRPr="00612D67">
        <w:rPr>
          <w:rFonts w:ascii="Arial" w:hAnsi="Arial" w:cs="Arial"/>
        </w:rPr>
        <w:t>2</w:t>
      </w:r>
      <w:r w:rsidR="001B2ED9" w:rsidRPr="00612D67">
        <w:rPr>
          <w:rFonts w:ascii="Arial" w:hAnsi="Arial" w:cs="Arial"/>
        </w:rPr>
        <w:t xml:space="preserve">0% to the office and </w:t>
      </w:r>
      <w:r w:rsidRPr="00612D67">
        <w:rPr>
          <w:rFonts w:ascii="Arial" w:hAnsi="Arial" w:cs="Arial"/>
        </w:rPr>
        <w:t>8</w:t>
      </w:r>
      <w:r w:rsidR="00407C76" w:rsidRPr="00612D67">
        <w:rPr>
          <w:rFonts w:ascii="Arial" w:hAnsi="Arial" w:cs="Arial"/>
        </w:rPr>
        <w:t>0% to</w:t>
      </w:r>
      <w:r w:rsidR="00FB5B86" w:rsidRPr="00612D67">
        <w:rPr>
          <w:rFonts w:ascii="Arial" w:hAnsi="Arial" w:cs="Arial"/>
        </w:rPr>
        <w:t xml:space="preserve"> the </w:t>
      </w:r>
      <w:r w:rsidRPr="00612D67">
        <w:rPr>
          <w:rFonts w:ascii="Arial" w:hAnsi="Arial" w:cs="Arial"/>
        </w:rPr>
        <w:t>garden centre</w:t>
      </w:r>
    </w:p>
    <w:p w14:paraId="76F46B56" w14:textId="77777777" w:rsidR="002055B9" w:rsidRPr="00612D67" w:rsidRDefault="002055B9" w:rsidP="002055B9">
      <w:pPr>
        <w:rPr>
          <w:rFonts w:ascii="Arial" w:hAnsi="Arial" w:cs="Arial"/>
        </w:rPr>
      </w:pPr>
    </w:p>
    <w:sectPr w:rsidR="002055B9" w:rsidRPr="00612D67" w:rsidSect="00FF4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567" w:left="85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65B0" w14:textId="77777777" w:rsidR="00F90695" w:rsidRDefault="00F90695" w:rsidP="00590B0C">
      <w:pPr>
        <w:spacing w:after="0" w:line="240" w:lineRule="auto"/>
      </w:pPr>
      <w:r>
        <w:separator/>
      </w:r>
    </w:p>
  </w:endnote>
  <w:endnote w:type="continuationSeparator" w:id="0">
    <w:p w14:paraId="551E30E2" w14:textId="77777777" w:rsidR="00F90695" w:rsidRDefault="00F90695" w:rsidP="005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68A37" w14:textId="77777777" w:rsidR="00FF4DFD" w:rsidRDefault="00FF4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/>
    <w:sdtContent>
      <w:p w14:paraId="159D982B" w14:textId="0332E847" w:rsidR="00FF4DFD" w:rsidRDefault="00FF4DFD" w:rsidP="00FF4DFD">
        <w:pPr>
          <w:pStyle w:val="Footer"/>
          <w:pBdr>
            <w:top w:val="single" w:sz="4" w:space="1" w:color="auto"/>
          </w:pBdr>
          <w:tabs>
            <w:tab w:val="center" w:pos="4860"/>
          </w:tabs>
          <w:rPr>
            <w:sz w:val="16"/>
          </w:rPr>
        </w:pPr>
        <w:r>
          <w:rPr>
            <w:noProof/>
            <w:lang w:eastAsia="en-NZ"/>
          </w:rPr>
          <w:drawing>
            <wp:anchor distT="0" distB="0" distL="114300" distR="114300" simplePos="0" relativeHeight="251658240" behindDoc="0" locked="0" layoutInCell="1" allowOverlap="1" wp14:anchorId="4D858073" wp14:editId="5967EE6E">
              <wp:simplePos x="0" y="0"/>
              <wp:positionH relativeFrom="column">
                <wp:posOffset>244475</wp:posOffset>
              </wp:positionH>
              <wp:positionV relativeFrom="paragraph">
                <wp:posOffset>-17145</wp:posOffset>
              </wp:positionV>
              <wp:extent cx="935355" cy="32639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6681" t="6184" r="476" b="185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326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6"/>
          </w:rPr>
          <w:t xml:space="preserve">                                                          </w:t>
        </w:r>
        <w:r>
          <w:rPr>
            <w:rFonts w:cs="Arial"/>
            <w:sz w:val="16"/>
            <w:szCs w:val="16"/>
          </w:rPr>
          <w:t>© NZCETA 2015 Accounting Level 1 CETA Practice Exam AS 90978 (1.3)</w:t>
        </w:r>
      </w:p>
      <w:p w14:paraId="59E35BAC" w14:textId="77777777" w:rsidR="00FF4DFD" w:rsidRDefault="00FF4DFD" w:rsidP="00FF4DFD">
        <w:pPr>
          <w:pStyle w:val="Footer"/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sz w:val="16"/>
            <w:szCs w:val="16"/>
          </w:rPr>
          <w:t xml:space="preserve">              NZCETA has approval from NZQA to use their materials in the development of this resource.</w:t>
        </w:r>
      </w:p>
      <w:p w14:paraId="6AE31D1C" w14:textId="5D862A4F" w:rsidR="00FB5B86" w:rsidRPr="00FF4DFD" w:rsidRDefault="00FB5B86" w:rsidP="00FF4DFD">
        <w:pPr>
          <w:pStyle w:val="Footer"/>
          <w:jc w:val="right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 PAGE   \* MERGEFORMAT </w:instrText>
        </w:r>
        <w:r>
          <w:rPr>
            <w:sz w:val="16"/>
          </w:rPr>
          <w:fldChar w:fldCharType="separate"/>
        </w:r>
        <w:r w:rsidR="00773CAF">
          <w:rPr>
            <w:noProof/>
            <w:sz w:val="16"/>
          </w:rPr>
          <w:t>1</w:t>
        </w:r>
        <w:r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375CD" w14:textId="77777777" w:rsidR="00FF4DFD" w:rsidRDefault="00FF4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93BA" w14:textId="77777777" w:rsidR="00F90695" w:rsidRDefault="00F90695" w:rsidP="00590B0C">
      <w:pPr>
        <w:spacing w:after="0" w:line="240" w:lineRule="auto"/>
      </w:pPr>
      <w:r>
        <w:separator/>
      </w:r>
    </w:p>
  </w:footnote>
  <w:footnote w:type="continuationSeparator" w:id="0">
    <w:p w14:paraId="6D72023F" w14:textId="77777777" w:rsidR="00F90695" w:rsidRDefault="00F90695" w:rsidP="0059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ECB1" w14:textId="77777777" w:rsidR="00FF4DFD" w:rsidRDefault="00FF4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9EC2" w14:textId="77777777" w:rsidR="00FF4DFD" w:rsidRDefault="00FF4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2DD1" w14:textId="77777777" w:rsidR="00FF4DFD" w:rsidRDefault="00FF4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E0"/>
    <w:multiLevelType w:val="hybridMultilevel"/>
    <w:tmpl w:val="E62497D8"/>
    <w:lvl w:ilvl="0" w:tplc="035402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52DF"/>
    <w:rsid w:val="000628ED"/>
    <w:rsid w:val="000C28BB"/>
    <w:rsid w:val="000D27D3"/>
    <w:rsid w:val="000F145D"/>
    <w:rsid w:val="00113E9B"/>
    <w:rsid w:val="001B2ED9"/>
    <w:rsid w:val="001D1205"/>
    <w:rsid w:val="001F7630"/>
    <w:rsid w:val="002055B9"/>
    <w:rsid w:val="00226FBD"/>
    <w:rsid w:val="002407E8"/>
    <w:rsid w:val="0026048F"/>
    <w:rsid w:val="00264289"/>
    <w:rsid w:val="00272C6E"/>
    <w:rsid w:val="00274DF9"/>
    <w:rsid w:val="002B6B93"/>
    <w:rsid w:val="002C04A4"/>
    <w:rsid w:val="002E387B"/>
    <w:rsid w:val="002F411E"/>
    <w:rsid w:val="0033555F"/>
    <w:rsid w:val="00337CB5"/>
    <w:rsid w:val="003B67C3"/>
    <w:rsid w:val="003C3F8A"/>
    <w:rsid w:val="004029EC"/>
    <w:rsid w:val="00404D3D"/>
    <w:rsid w:val="00407C76"/>
    <w:rsid w:val="004308FB"/>
    <w:rsid w:val="004761EA"/>
    <w:rsid w:val="00491D6D"/>
    <w:rsid w:val="00497AAA"/>
    <w:rsid w:val="004E349C"/>
    <w:rsid w:val="004F030B"/>
    <w:rsid w:val="0050426A"/>
    <w:rsid w:val="005067E1"/>
    <w:rsid w:val="005240D8"/>
    <w:rsid w:val="005405F8"/>
    <w:rsid w:val="00550B4C"/>
    <w:rsid w:val="0055124F"/>
    <w:rsid w:val="00570B88"/>
    <w:rsid w:val="00581149"/>
    <w:rsid w:val="0058522A"/>
    <w:rsid w:val="00590B0C"/>
    <w:rsid w:val="005A6773"/>
    <w:rsid w:val="005B214D"/>
    <w:rsid w:val="005D01FE"/>
    <w:rsid w:val="005D7097"/>
    <w:rsid w:val="005E3E12"/>
    <w:rsid w:val="005F23FA"/>
    <w:rsid w:val="00612D67"/>
    <w:rsid w:val="00647B9C"/>
    <w:rsid w:val="006A16E8"/>
    <w:rsid w:val="00703509"/>
    <w:rsid w:val="00722295"/>
    <w:rsid w:val="00726337"/>
    <w:rsid w:val="0073207E"/>
    <w:rsid w:val="00773CAF"/>
    <w:rsid w:val="007917BB"/>
    <w:rsid w:val="00804C48"/>
    <w:rsid w:val="008632C1"/>
    <w:rsid w:val="008C7D5F"/>
    <w:rsid w:val="008E02B1"/>
    <w:rsid w:val="008F20D9"/>
    <w:rsid w:val="0090047D"/>
    <w:rsid w:val="00903272"/>
    <w:rsid w:val="00937D6F"/>
    <w:rsid w:val="0097374E"/>
    <w:rsid w:val="00982306"/>
    <w:rsid w:val="009A0944"/>
    <w:rsid w:val="009A28D7"/>
    <w:rsid w:val="009D7306"/>
    <w:rsid w:val="009F1C31"/>
    <w:rsid w:val="00A12868"/>
    <w:rsid w:val="00AD0675"/>
    <w:rsid w:val="00AF5DD2"/>
    <w:rsid w:val="00B273D7"/>
    <w:rsid w:val="00B31F5E"/>
    <w:rsid w:val="00B4608B"/>
    <w:rsid w:val="00B8524D"/>
    <w:rsid w:val="00B940D6"/>
    <w:rsid w:val="00B949A2"/>
    <w:rsid w:val="00B97D55"/>
    <w:rsid w:val="00BB19EB"/>
    <w:rsid w:val="00BC0315"/>
    <w:rsid w:val="00C14DE3"/>
    <w:rsid w:val="00C27D5E"/>
    <w:rsid w:val="00C27F8F"/>
    <w:rsid w:val="00C51F70"/>
    <w:rsid w:val="00CC0F73"/>
    <w:rsid w:val="00CD7EA7"/>
    <w:rsid w:val="00D0158F"/>
    <w:rsid w:val="00D35D20"/>
    <w:rsid w:val="00D52EB7"/>
    <w:rsid w:val="00D96246"/>
    <w:rsid w:val="00DE4FED"/>
    <w:rsid w:val="00E01504"/>
    <w:rsid w:val="00E22995"/>
    <w:rsid w:val="00E44C23"/>
    <w:rsid w:val="00EC0B95"/>
    <w:rsid w:val="00EE68B8"/>
    <w:rsid w:val="00F007EC"/>
    <w:rsid w:val="00F1360D"/>
    <w:rsid w:val="00F36213"/>
    <w:rsid w:val="00F75B3D"/>
    <w:rsid w:val="00F86657"/>
    <w:rsid w:val="00F90695"/>
    <w:rsid w:val="00FA6A89"/>
    <w:rsid w:val="00FB5B86"/>
    <w:rsid w:val="00FE026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2D67"/>
    <w:pPr>
      <w:spacing w:after="0" w:line="240" w:lineRule="auto"/>
    </w:pPr>
  </w:style>
  <w:style w:type="paragraph" w:customStyle="1" w:styleId="Ceta">
    <w:name w:val="Ceta"/>
    <w:basedOn w:val="Normal"/>
    <w:rsid w:val="008F20D9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2D67"/>
    <w:pPr>
      <w:spacing w:after="0" w:line="240" w:lineRule="auto"/>
    </w:pPr>
  </w:style>
  <w:style w:type="paragraph" w:customStyle="1" w:styleId="Ceta">
    <w:name w:val="Ceta"/>
    <w:basedOn w:val="Normal"/>
    <w:rsid w:val="008F20D9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6CC1-1CA6-44F8-B832-D5258428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2015-07-09T00:24:00Z</cp:lastPrinted>
  <dcterms:created xsi:type="dcterms:W3CDTF">2015-07-08T22:07:00Z</dcterms:created>
  <dcterms:modified xsi:type="dcterms:W3CDTF">2015-07-09T00:24:00Z</dcterms:modified>
</cp:coreProperties>
</file>